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D0" w:rsidRPr="00F02C91" w:rsidRDefault="00A83FD0" w:rsidP="00A83FD0">
      <w:pPr>
        <w:tabs>
          <w:tab w:val="left" w:pos="5855"/>
        </w:tabs>
        <w:rPr>
          <w:rFonts w:ascii="Traditional Arabic" w:hAnsi="Traditional Arabic" w:cs="Traditional Arabic"/>
          <w:b/>
          <w:bCs/>
          <w:noProof/>
          <w:sz w:val="40"/>
          <w:szCs w:val="40"/>
          <w:lang w:eastAsia="es-ES"/>
        </w:rPr>
      </w:pPr>
    </w:p>
    <w:p w:rsidR="004C4085" w:rsidRPr="00F02C91" w:rsidRDefault="00A83FD0" w:rsidP="00A83FD0">
      <w:pPr>
        <w:tabs>
          <w:tab w:val="left" w:pos="3235"/>
          <w:tab w:val="right" w:pos="8306"/>
        </w:tabs>
        <w:jc w:val="center"/>
        <w:rPr>
          <w:rFonts w:ascii="Traditional Arabic" w:hAnsi="Traditional Arabic" w:cs="Traditional Arabic"/>
          <w:b/>
          <w:bCs/>
          <w:noProof/>
          <w:color w:val="FF0000"/>
          <w:sz w:val="40"/>
          <w:szCs w:val="40"/>
          <w:rtl/>
          <w:lang w:val="es-ES" w:eastAsia="es-ES"/>
        </w:rPr>
      </w:pPr>
      <w:r w:rsidRPr="00F02C91">
        <w:rPr>
          <w:rFonts w:ascii="Traditional Arabic" w:hAnsi="Traditional Arabic" w:cs="Traditional Arabic" w:hint="cs"/>
          <w:b/>
          <w:bCs/>
          <w:noProof/>
          <w:color w:val="FF0000"/>
          <w:sz w:val="40"/>
          <w:szCs w:val="40"/>
          <w:rtl/>
          <w:lang w:val="es-ES" w:eastAsia="es-ES"/>
        </w:rPr>
        <w:t>حكم الإكرامية</w:t>
      </w:r>
    </w:p>
    <w:p w:rsidR="004075F2" w:rsidRDefault="00A83FD0" w:rsidP="00A83FD0">
      <w:pPr>
        <w:tabs>
          <w:tab w:val="left" w:pos="3235"/>
          <w:tab w:val="right" w:pos="8306"/>
        </w:tabs>
        <w:jc w:val="right"/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</w:pPr>
      <w:r w:rsidRPr="00F02C91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>الإكرامية عرفا هي:</w:t>
      </w:r>
      <w:r w:rsidR="004F69AF" w:rsidRPr="00F02C91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 xml:space="preserve"> (البقشيش) وهو:</w:t>
      </w:r>
      <w:r w:rsidRPr="00F02C91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 xml:space="preserve"> ما يُعطى</w:t>
      </w:r>
      <w:r w:rsidR="00F02C91" w:rsidRPr="00F02C91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 xml:space="preserve"> لخادم أو </w:t>
      </w:r>
      <w:r w:rsidRPr="00F02C91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>ع</w:t>
      </w:r>
      <w:r w:rsidR="00F02C91" w:rsidRPr="00F02C91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>ا</w:t>
      </w:r>
      <w:r w:rsidRPr="00F02C91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>مل التاجر،</w:t>
      </w:r>
      <w:r w:rsidR="004F69AF" w:rsidRPr="00F02C91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 xml:space="preserve"> أو عامل المطعم، أ</w:t>
      </w:r>
      <w:r w:rsidRPr="00F02C91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>و المقهى، أو غيره زيادة على أجر السلعة</w:t>
      </w:r>
      <w:r w:rsidR="004075F2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>.</w:t>
      </w:r>
      <w:r w:rsidRPr="00F02C91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 xml:space="preserve"> </w:t>
      </w:r>
    </w:p>
    <w:p w:rsidR="00A83FD0" w:rsidRPr="00F02C91" w:rsidRDefault="004F69AF" w:rsidP="00A83FD0">
      <w:pPr>
        <w:tabs>
          <w:tab w:val="left" w:pos="3235"/>
          <w:tab w:val="right" w:pos="8306"/>
        </w:tabs>
        <w:jc w:val="right"/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</w:pPr>
      <w:r w:rsidRPr="00F02C91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>وت</w:t>
      </w:r>
      <w:r w:rsidR="00A83FD0" w:rsidRPr="00F02C91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>سمى بالفرنسية:</w:t>
      </w:r>
    </w:p>
    <w:p w:rsidR="00A83FD0" w:rsidRPr="00F02C91" w:rsidRDefault="00A83FD0" w:rsidP="00A83FD0">
      <w:pPr>
        <w:tabs>
          <w:tab w:val="left" w:pos="3235"/>
          <w:tab w:val="right" w:pos="8306"/>
        </w:tabs>
        <w:jc w:val="right"/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</w:pPr>
      <w:r w:rsidRPr="00F02C91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 xml:space="preserve">  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lang w:val="es-ES" w:eastAsia="es-ES"/>
        </w:rPr>
        <w:t>Pourboire</w:t>
      </w:r>
    </w:p>
    <w:p w:rsidR="00A83FD0" w:rsidRPr="00F02C91" w:rsidRDefault="00A83FD0" w:rsidP="00A83FD0">
      <w:pPr>
        <w:tabs>
          <w:tab w:val="left" w:pos="3235"/>
          <w:tab w:val="right" w:pos="8306"/>
        </w:tabs>
        <w:jc w:val="right"/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</w:pPr>
      <w:r w:rsidRPr="00F02C91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>وبالإنجليزية</w:t>
      </w:r>
    </w:p>
    <w:p w:rsidR="00A83FD0" w:rsidRPr="00F02C91" w:rsidRDefault="00A83FD0" w:rsidP="00A83FD0">
      <w:pPr>
        <w:tabs>
          <w:tab w:val="left" w:pos="3235"/>
          <w:tab w:val="right" w:pos="8306"/>
        </w:tabs>
        <w:jc w:val="right"/>
        <w:rPr>
          <w:rFonts w:ascii="Traditional Arabic" w:hAnsi="Traditional Arabic" w:cs="Traditional Arabic"/>
          <w:b/>
          <w:bCs/>
          <w:noProof/>
          <w:sz w:val="40"/>
          <w:szCs w:val="40"/>
          <w:lang w:val="es-ES" w:eastAsia="es-ES"/>
        </w:rPr>
      </w:pP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lang w:val="es-ES" w:eastAsia="es-ES"/>
        </w:rPr>
        <w:t>Tip</w:t>
      </w:r>
    </w:p>
    <w:p w:rsidR="001177B2" w:rsidRPr="00F02C91" w:rsidRDefault="001177B2" w:rsidP="004F69AF">
      <w:pPr>
        <w:tabs>
          <w:tab w:val="left" w:pos="5230"/>
        </w:tabs>
        <w:jc w:val="right"/>
        <w:rPr>
          <w:rFonts w:ascii="Traditional Arabic" w:hAnsi="Traditional Arabic" w:cs="Traditional Arabic"/>
          <w:b/>
          <w:bCs/>
          <w:noProof/>
          <w:color w:val="FF0000"/>
          <w:sz w:val="40"/>
          <w:szCs w:val="40"/>
          <w:rtl/>
          <w:lang w:val="es-ES" w:eastAsia="es-ES"/>
        </w:rPr>
      </w:pPr>
      <w:r w:rsidRPr="00F02C91">
        <w:rPr>
          <w:rFonts w:ascii="Traditional Arabic" w:hAnsi="Traditional Arabic" w:cs="Traditional Arabic"/>
          <w:b/>
          <w:bCs/>
          <w:noProof/>
          <w:color w:val="FF0000"/>
          <w:sz w:val="40"/>
          <w:szCs w:val="40"/>
          <w:lang w:val="es-ES" w:eastAsia="es-ES"/>
        </w:rPr>
        <w:tab/>
      </w:r>
      <w:r w:rsidR="004F69AF" w:rsidRPr="00F02C91">
        <w:rPr>
          <w:rFonts w:ascii="Traditional Arabic" w:hAnsi="Traditional Arabic" w:cs="Traditional Arabic" w:hint="cs"/>
          <w:b/>
          <w:bCs/>
          <w:noProof/>
          <w:color w:val="FF0000"/>
          <w:sz w:val="40"/>
          <w:szCs w:val="40"/>
          <w:rtl/>
          <w:lang w:val="es-ES" w:eastAsia="es-ES"/>
        </w:rPr>
        <w:t>حكم الإكرامية:</w:t>
      </w:r>
    </w:p>
    <w:p w:rsidR="004F69AF" w:rsidRPr="00F02C91" w:rsidRDefault="00F02C91" w:rsidP="004F69AF">
      <w:pPr>
        <w:tabs>
          <w:tab w:val="left" w:pos="5230"/>
        </w:tabs>
        <w:jc w:val="right"/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</w:pPr>
      <w:r w:rsidRPr="00F02C91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 xml:space="preserve">الإكرامية </w:t>
      </w:r>
      <w:r w:rsidR="004F69AF" w:rsidRPr="00F02C91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>ليست من حق العامل،</w:t>
      </w:r>
      <w:r w:rsidR="0075178C" w:rsidRPr="00F02C91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 xml:space="preserve"> بل</w:t>
      </w:r>
      <w:r w:rsidR="004F69AF" w:rsidRPr="00F02C91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 xml:space="preserve"> هي من حق المالك، يتصرَّف فيها كما يشاء</w:t>
      </w:r>
      <w:r w:rsidR="003656D1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>،</w:t>
      </w:r>
      <w:r w:rsidR="004F69AF" w:rsidRPr="00F02C91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 xml:space="preserve"> إما يعطيها للعامل، أو يأخذها لنفسه.</w:t>
      </w:r>
    </w:p>
    <w:p w:rsidR="004F69AF" w:rsidRPr="00F02C91" w:rsidRDefault="004F69AF" w:rsidP="004F69AF">
      <w:pPr>
        <w:tabs>
          <w:tab w:val="left" w:pos="5230"/>
          <w:tab w:val="left" w:pos="5685"/>
          <w:tab w:val="right" w:pos="8306"/>
        </w:tabs>
        <w:rPr>
          <w:rFonts w:ascii="Traditional Arabic" w:hAnsi="Traditional Arabic" w:cs="Traditional Arabic"/>
          <w:b/>
          <w:bCs/>
          <w:noProof/>
          <w:color w:val="FF0000"/>
          <w:sz w:val="40"/>
          <w:szCs w:val="40"/>
          <w:rtl/>
          <w:lang w:val="es-ES" w:eastAsia="es-ES"/>
        </w:rPr>
      </w:pPr>
      <w:r w:rsidRPr="00F02C91">
        <w:rPr>
          <w:rFonts w:ascii="Traditional Arabic" w:hAnsi="Traditional Arabic" w:cs="Traditional Arabic"/>
          <w:b/>
          <w:bCs/>
          <w:noProof/>
          <w:color w:val="FF0000"/>
          <w:sz w:val="40"/>
          <w:szCs w:val="40"/>
          <w:rtl/>
          <w:lang w:val="es-ES" w:eastAsia="es-ES"/>
        </w:rPr>
        <w:tab/>
      </w:r>
      <w:r w:rsidRPr="00F02C91">
        <w:rPr>
          <w:rFonts w:ascii="Traditional Arabic" w:hAnsi="Traditional Arabic" w:cs="Traditional Arabic"/>
          <w:b/>
          <w:bCs/>
          <w:noProof/>
          <w:color w:val="FF0000"/>
          <w:sz w:val="40"/>
          <w:szCs w:val="40"/>
          <w:rtl/>
          <w:lang w:val="es-ES" w:eastAsia="es-ES"/>
        </w:rPr>
        <w:tab/>
      </w:r>
      <w:r w:rsidRPr="00F02C91">
        <w:rPr>
          <w:rFonts w:ascii="Traditional Arabic" w:hAnsi="Traditional Arabic" w:cs="Traditional Arabic"/>
          <w:b/>
          <w:bCs/>
          <w:noProof/>
          <w:color w:val="FF0000"/>
          <w:sz w:val="40"/>
          <w:szCs w:val="40"/>
          <w:rtl/>
          <w:lang w:val="es-ES" w:eastAsia="es-ES"/>
        </w:rPr>
        <w:tab/>
      </w:r>
      <w:r w:rsidRPr="00F02C91">
        <w:rPr>
          <w:rFonts w:ascii="Traditional Arabic" w:hAnsi="Traditional Arabic" w:cs="Traditional Arabic" w:hint="cs"/>
          <w:b/>
          <w:bCs/>
          <w:noProof/>
          <w:color w:val="FF0000"/>
          <w:sz w:val="40"/>
          <w:szCs w:val="40"/>
          <w:rtl/>
          <w:lang w:val="es-ES" w:eastAsia="es-ES"/>
        </w:rPr>
        <w:t>دليل حكم الإكرامية:</w:t>
      </w:r>
    </w:p>
    <w:p w:rsidR="004F69AF" w:rsidRPr="00F02C91" w:rsidRDefault="004F69AF" w:rsidP="004F69AF">
      <w:pPr>
        <w:tabs>
          <w:tab w:val="left" w:pos="5230"/>
          <w:tab w:val="left" w:pos="5685"/>
          <w:tab w:val="right" w:pos="8306"/>
        </w:tabs>
        <w:jc w:val="right"/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</w:pPr>
      <w:r w:rsidRPr="00F02C91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 xml:space="preserve">الدليل هو القياس على حديث أبو حميد الساعدي لمَّا قال: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اسْتَعْمَلَ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رَسولُ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اللهِ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="003656D1" w:rsidRPr="003656D1">
        <w:rPr>
          <w:rFonts w:ascii="Sakkal Majalla" w:hAnsi="Sakkal Majalla" w:cs="Sakkal Majalla" w:hint="cs"/>
          <w:b/>
          <w:bCs/>
          <w:sz w:val="36"/>
          <w:szCs w:val="36"/>
          <w:rtl/>
          <w:lang w:eastAsia="fr-FR" w:bidi="ar-TN"/>
        </w:rPr>
        <w:t>ﷺ</w:t>
      </w:r>
      <w:r w:rsidRPr="003656D1">
        <w:rPr>
          <w:rFonts w:ascii="Traditional Arabic" w:hAnsi="Traditional Arabic" w:cs="Traditional Arabic"/>
          <w:b/>
          <w:bCs/>
          <w:noProof/>
          <w:sz w:val="48"/>
          <w:szCs w:val="48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رَجُلًا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مِنَ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الأسْدِ،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يُقَالُ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له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: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ابنُ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اللُّتْبِيَّةِ،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قالَ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عَمْرٌو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: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وَابنُ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أَبِي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عُمَرَ،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علَى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الصَّدَقَةِ،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فَلَمَّا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قَدِمَ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قالَ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: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هذا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لَكُمْ،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وَهذا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لِي،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أُهْدِيَ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لِي،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قالَ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: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فَقَامَ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رَسولُ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اللهِ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="003656D1" w:rsidRPr="003656D1">
        <w:rPr>
          <w:rFonts w:ascii="Sakkal Majalla" w:hAnsi="Sakkal Majalla" w:cs="Sakkal Majalla" w:hint="cs"/>
          <w:b/>
          <w:bCs/>
          <w:sz w:val="36"/>
          <w:szCs w:val="36"/>
          <w:rtl/>
          <w:lang w:eastAsia="fr-FR" w:bidi="ar-TN"/>
        </w:rPr>
        <w:t>ﷺ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علَى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المِنْبَرِ،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فَحَمِدَ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اللَّهَ،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وَأَثْنَى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عليه،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وَقالَ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: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ما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بَالُ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عَامِلٍ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أَبْعَثُهُ،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فيَقولُ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: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هذا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لَكُمْ،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وَهذا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أُهْدِيَ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لِي،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أَفلا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قَعَدَ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في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بَيْتِ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أَبِيهِ،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أَوْ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في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بَيْتِ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أُمِّهِ،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حتَّى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يَنْظُرَ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أَيُهْدَى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إلَيْهِ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أَمْ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لَا؟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وَالَّذِي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نَفْسُ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مُحَمَّدٍ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بيَدِهِ،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لا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يَنَالُ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أَحَدٌ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مِنكُم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منها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lastRenderedPageBreak/>
        <w:t>شيئًا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إلَّا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جَاءَ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به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يَومَ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القِيَامَةِ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يَحْمِلُهُ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علَى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عُنُقِهِ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بَعِيرٌ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له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رُغَاءٌ،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أَوْ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بَقَرَةٌ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لَهَا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خُوَارٌ،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أَوْ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شَاةٌ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تَيْعِرُ،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ثُمَّ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رَفَعَ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يَدَيْهِ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حتَّى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رَأَيْنَا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عُفْرَتَيْ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إبْطَيْهِ،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ثُمَّ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قالَ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: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اللَّهُمَّ،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هلْ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بَلَّغْتُ؟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مَرَّتَيْنِ</w:t>
      </w:r>
      <w:r w:rsidRPr="00F02C91">
        <w:rPr>
          <w:rStyle w:val="ac"/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footnoteReference w:id="1"/>
      </w:r>
    </w:p>
    <w:p w:rsidR="004F69AF" w:rsidRPr="00F02C91" w:rsidRDefault="004F69AF" w:rsidP="004F69AF">
      <w:pPr>
        <w:tabs>
          <w:tab w:val="left" w:pos="5230"/>
        </w:tabs>
        <w:jc w:val="right"/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</w:pPr>
      <w:r w:rsidRPr="00F02C91">
        <w:rPr>
          <w:rFonts w:ascii="Traditional Arabic" w:hAnsi="Traditional Arabic" w:cs="Traditional Arabic" w:hint="cs"/>
          <w:b/>
          <w:bCs/>
          <w:noProof/>
          <w:color w:val="FF0000"/>
          <w:sz w:val="40"/>
          <w:szCs w:val="40"/>
          <w:rtl/>
          <w:lang w:val="es-ES" w:eastAsia="es-ES"/>
        </w:rPr>
        <w:t xml:space="preserve">والقياس هو: </w:t>
      </w:r>
      <w:r w:rsidRPr="00F02C91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>ردُّ فرعٍ لأصلٍ لعلَّة مشتركة بينهما.</w:t>
      </w:r>
    </w:p>
    <w:p w:rsidR="004F69AF" w:rsidRPr="00F02C91" w:rsidRDefault="004F69AF" w:rsidP="0075178C">
      <w:pPr>
        <w:tabs>
          <w:tab w:val="left" w:pos="5230"/>
        </w:tabs>
        <w:jc w:val="right"/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</w:pPr>
      <w:r w:rsidRPr="00F02C91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 xml:space="preserve">والمعنى أنه: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إلحاق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واقعة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لا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نص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على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حكمها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بواقعة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ورد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نص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="0075178C"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بحكمها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في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الحكم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الذي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ورد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به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النص،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لتساوي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الواقعتين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في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علة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هذا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الحكم</w:t>
      </w:r>
      <w:r w:rsidR="0075178C" w:rsidRPr="00F02C91">
        <w:rPr>
          <w:rStyle w:val="ac"/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footnoteReference w:id="2"/>
      </w:r>
      <w:r w:rsidRPr="00F02C91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 xml:space="preserve"> </w:t>
      </w:r>
    </w:p>
    <w:p w:rsidR="00E03825" w:rsidRDefault="0075178C" w:rsidP="0075178C">
      <w:pPr>
        <w:tabs>
          <w:tab w:val="left" w:pos="5230"/>
        </w:tabs>
        <w:jc w:val="right"/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</w:pPr>
      <w:r w:rsidRPr="003656D1">
        <w:rPr>
          <w:rFonts w:ascii="Traditional Arabic" w:hAnsi="Traditional Arabic" w:cs="Traditional Arabic" w:hint="cs"/>
          <w:b/>
          <w:bCs/>
          <w:noProof/>
          <w:color w:val="FF0000"/>
          <w:sz w:val="40"/>
          <w:szCs w:val="40"/>
          <w:rtl/>
          <w:lang w:val="es-ES" w:eastAsia="es-ES"/>
        </w:rPr>
        <w:t>والعلة المشتركة</w:t>
      </w:r>
      <w:r w:rsidR="003656D1" w:rsidRPr="003656D1">
        <w:rPr>
          <w:rFonts w:ascii="Traditional Arabic" w:hAnsi="Traditional Arabic" w:cs="Traditional Arabic" w:hint="cs"/>
          <w:b/>
          <w:bCs/>
          <w:noProof/>
          <w:color w:val="FF0000"/>
          <w:sz w:val="40"/>
          <w:szCs w:val="40"/>
          <w:rtl/>
          <w:lang w:val="es-ES" w:eastAsia="es-ES"/>
        </w:rPr>
        <w:t>:</w:t>
      </w:r>
      <w:r w:rsidRPr="003656D1">
        <w:rPr>
          <w:rFonts w:ascii="Traditional Arabic" w:hAnsi="Traditional Arabic" w:cs="Traditional Arabic" w:hint="cs"/>
          <w:b/>
          <w:bCs/>
          <w:noProof/>
          <w:color w:val="FF0000"/>
          <w:sz w:val="40"/>
          <w:szCs w:val="40"/>
          <w:rtl/>
          <w:lang w:val="es-ES" w:eastAsia="es-ES"/>
        </w:rPr>
        <w:t xml:space="preserve"> </w:t>
      </w:r>
      <w:r w:rsidR="00E03825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 xml:space="preserve">بين أخذ </w:t>
      </w:r>
      <w:r w:rsidRPr="00F02C91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>إكرامية</w:t>
      </w:r>
      <w:r w:rsidR="00E03825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 xml:space="preserve"> العمل في الزكاة، والعمل في غيرها</w:t>
      </w:r>
      <w:r w:rsidRPr="00F02C91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>، هو أنَّ كلامها عامل</w:t>
      </w:r>
      <w:r w:rsidR="00E03825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 xml:space="preserve"> وليس مالكا</w:t>
      </w:r>
      <w:r w:rsidRPr="00F02C91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 xml:space="preserve">، قال النبي </w:t>
      </w:r>
      <w:r w:rsidR="003656D1" w:rsidRPr="003656D1">
        <w:rPr>
          <w:rFonts w:ascii="Sakkal Majalla" w:hAnsi="Sakkal Majalla" w:cs="Sakkal Majalla" w:hint="cs"/>
          <w:b/>
          <w:bCs/>
          <w:sz w:val="36"/>
          <w:szCs w:val="36"/>
          <w:rtl/>
          <w:lang w:eastAsia="fr-FR" w:bidi="ar-TN"/>
        </w:rPr>
        <w:t>ﷺ</w:t>
      </w:r>
      <w:r w:rsidR="003656D1" w:rsidRPr="003656D1">
        <w:rPr>
          <w:rFonts w:ascii="Traditional Arabic" w:hAnsi="Traditional Arabic" w:cs="Traditional Arabic"/>
          <w:b/>
          <w:bCs/>
          <w:noProof/>
          <w:sz w:val="48"/>
          <w:szCs w:val="48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>في الحديث السابق {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ما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بَالُ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عَامِلٍ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أَبْعَثُهُ</w:t>
      </w:r>
      <w:r w:rsidRPr="00F02C91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>}</w:t>
      </w:r>
      <w:r w:rsidR="00E03825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>.</w:t>
      </w:r>
    </w:p>
    <w:p w:rsidR="001177B2" w:rsidRPr="00F02C91" w:rsidRDefault="0075178C" w:rsidP="0075178C">
      <w:pPr>
        <w:tabs>
          <w:tab w:val="left" w:pos="5230"/>
        </w:tabs>
        <w:jc w:val="right"/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</w:pPr>
      <w:r w:rsidRPr="00F02C91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 xml:space="preserve">كذلك أنَّ هذا المال الزائد لولا عمله ما كان ليأخذه، قال النبي </w:t>
      </w:r>
      <w:r w:rsidR="003656D1" w:rsidRPr="003656D1">
        <w:rPr>
          <w:rFonts w:ascii="Sakkal Majalla" w:hAnsi="Sakkal Majalla" w:cs="Sakkal Majalla" w:hint="cs"/>
          <w:b/>
          <w:bCs/>
          <w:sz w:val="36"/>
          <w:szCs w:val="36"/>
          <w:rtl/>
          <w:lang w:eastAsia="fr-FR" w:bidi="ar-TN"/>
        </w:rPr>
        <w:t>ﷺ</w:t>
      </w:r>
      <w:r w:rsidR="003656D1" w:rsidRPr="003656D1">
        <w:rPr>
          <w:rFonts w:ascii="Traditional Arabic" w:hAnsi="Traditional Arabic" w:cs="Traditional Arabic"/>
          <w:b/>
          <w:bCs/>
          <w:noProof/>
          <w:sz w:val="48"/>
          <w:szCs w:val="48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>في الحديث السابق: {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أَفلا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قَعَدَ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في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بَيْتِ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أَبِيهِ،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أَوْ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في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بَيْتِ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أُمِّهِ،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حتَّى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يَنْظُرَ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أَيُهْدَى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إلَيْهِ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أَمْ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لَا؟</w:t>
      </w:r>
      <w:r w:rsidRPr="00F02C91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>}.</w:t>
      </w:r>
    </w:p>
    <w:p w:rsidR="0075178C" w:rsidRDefault="0075178C" w:rsidP="0075178C">
      <w:pPr>
        <w:tabs>
          <w:tab w:val="left" w:pos="5230"/>
        </w:tabs>
        <w:jc w:val="right"/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</w:pPr>
      <w:r w:rsidRPr="00F02C91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>والمعنى</w:t>
      </w:r>
      <w:r w:rsidR="003656D1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>:</w:t>
      </w:r>
      <w:r w:rsidRPr="00F02C91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 xml:space="preserve"> أنَّ الذي أخذ الإكرامية</w:t>
      </w:r>
      <w:r w:rsidR="00F02C91" w:rsidRPr="00F02C91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>؛</w:t>
      </w:r>
      <w:r w:rsidRPr="00F02C91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 xml:space="preserve"> فإنَّه لو لم يكن يعمل في ذلك المحل</w:t>
      </w:r>
      <w:r w:rsidR="003656D1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 xml:space="preserve"> أو غيره...</w:t>
      </w:r>
      <w:r w:rsidRPr="00F02C91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 xml:space="preserve"> ما كان ليأخذها</w:t>
      </w:r>
      <w:r w:rsidR="00F02C91" w:rsidRPr="00F02C91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>، {</w:t>
      </w:r>
      <w:r w:rsidR="00F02C91"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أَفلا</w:t>
      </w:r>
      <w:r w:rsidR="00F02C91"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="00F02C91"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قَعَدَ</w:t>
      </w:r>
      <w:r w:rsidR="00F02C91"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="00F02C91"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في</w:t>
      </w:r>
      <w:r w:rsidR="00F02C91"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="00F02C91"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بَيْتِ</w:t>
      </w:r>
      <w:r w:rsidR="00F02C91"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="00F02C91"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أَبِيهِ،</w:t>
      </w:r>
      <w:r w:rsidR="00F02C91"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="00F02C91"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أَوْ</w:t>
      </w:r>
      <w:r w:rsidR="00F02C91"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="00F02C91"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في</w:t>
      </w:r>
      <w:r w:rsidR="00F02C91"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="00F02C91"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بَيْتِ</w:t>
      </w:r>
      <w:r w:rsidR="00F02C91"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="00F02C91"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أُمِّهِ،</w:t>
      </w:r>
      <w:r w:rsidR="00F02C91"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="00F02C91"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حتَّى</w:t>
      </w:r>
      <w:r w:rsidR="00F02C91"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="00F02C91"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يَنْظُرَ</w:t>
      </w:r>
      <w:r w:rsidR="00F02C91"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="00F02C91"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أَيُهْدَى</w:t>
      </w:r>
      <w:r w:rsidR="00F02C91"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="00F02C91"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إلَيْهِ</w:t>
      </w:r>
      <w:r w:rsidR="00F02C91"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="00F02C91"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أَمْ</w:t>
      </w:r>
      <w:r w:rsidR="00F02C91"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="00F02C91"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لَا؟</w:t>
      </w:r>
      <w:r w:rsidR="00F02C91" w:rsidRPr="00F02C91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>}.</w:t>
      </w:r>
    </w:p>
    <w:p w:rsidR="003656D1" w:rsidRDefault="00E03825" w:rsidP="0075178C">
      <w:pPr>
        <w:tabs>
          <w:tab w:val="left" w:pos="5230"/>
        </w:tabs>
        <w:jc w:val="right"/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</w:pPr>
      <w:r w:rsidRPr="00E03825">
        <w:rPr>
          <w:rFonts w:ascii="Traditional Arabic" w:hAnsi="Traditional Arabic" w:cs="Traditional Arabic" w:hint="cs"/>
          <w:b/>
          <w:bCs/>
          <w:noProof/>
          <w:color w:val="FF0000"/>
          <w:sz w:val="40"/>
          <w:szCs w:val="40"/>
          <w:rtl/>
          <w:lang w:val="es-ES" w:eastAsia="es-ES"/>
        </w:rPr>
        <w:t>والفرق بينها:</w:t>
      </w:r>
      <w:r w:rsidR="003656D1" w:rsidRPr="00E03825">
        <w:rPr>
          <w:rFonts w:ascii="Traditional Arabic" w:hAnsi="Traditional Arabic" w:cs="Traditional Arabic" w:hint="cs"/>
          <w:b/>
          <w:bCs/>
          <w:noProof/>
          <w:color w:val="FF0000"/>
          <w:sz w:val="40"/>
          <w:szCs w:val="40"/>
          <w:rtl/>
          <w:lang w:val="es-ES" w:eastAsia="es-ES"/>
        </w:rPr>
        <w:t xml:space="preserve"> </w:t>
      </w:r>
      <w:r w:rsidR="003656D1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 xml:space="preserve">أي: إكرامية العمل في جمع الزكاة، وإكرامية غيرها، أنَّ مالك إكرامية </w:t>
      </w:r>
      <w:r w:rsidR="004075F2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 xml:space="preserve">العمل في جمع </w:t>
      </w:r>
      <w:r w:rsidR="003656D1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 xml:space="preserve">الزكاة هو كل المسمين، يتصرف فيها ولي الأمر بما </w:t>
      </w:r>
      <w:r w:rsidR="003656D1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lastRenderedPageBreak/>
        <w:t>شرع الله تعالى فيها، وأمَّا</w:t>
      </w: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 xml:space="preserve"> إكرامية غيرها فهي</w:t>
      </w:r>
      <w:r w:rsidR="003656D1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 xml:space="preserve"> ملك لمالك العمل وهو واحد أو جماعة.</w:t>
      </w:r>
    </w:p>
    <w:p w:rsidR="003656D1" w:rsidRDefault="003656D1" w:rsidP="0075178C">
      <w:pPr>
        <w:tabs>
          <w:tab w:val="left" w:pos="5230"/>
        </w:tabs>
        <w:jc w:val="right"/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</w:pP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>كما أنَّ إكرامية غير الزكاة يحق لمالكها التصرف فيها كما يشاء.</w:t>
      </w:r>
    </w:p>
    <w:p w:rsidR="003656D1" w:rsidRDefault="003656D1" w:rsidP="0075178C">
      <w:pPr>
        <w:tabs>
          <w:tab w:val="left" w:pos="5230"/>
        </w:tabs>
        <w:jc w:val="right"/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</w:pP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 xml:space="preserve">وأما </w:t>
      </w:r>
      <w:r w:rsidR="004075F2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>ال</w:t>
      </w: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>إكرامية</w:t>
      </w:r>
      <w:r w:rsidR="004075F2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 xml:space="preserve"> التي تؤخذ في العمل في جمع</w:t>
      </w: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 xml:space="preserve"> الزكاة؛ فإنَّ وليَّ الأمر مقيد بالشرع فيها، وهي ليست من حقه الخاص.</w:t>
      </w:r>
    </w:p>
    <w:p w:rsidR="00E03825" w:rsidRDefault="00E03825" w:rsidP="0075178C">
      <w:pPr>
        <w:tabs>
          <w:tab w:val="left" w:pos="5230"/>
        </w:tabs>
        <w:jc w:val="right"/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</w:pP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>وهذه الفروق ليس لها تأثير في أصل العلَّة.</w:t>
      </w:r>
    </w:p>
    <w:p w:rsidR="00F02C91" w:rsidRPr="003656D1" w:rsidRDefault="00F02C91" w:rsidP="0075178C">
      <w:pPr>
        <w:tabs>
          <w:tab w:val="left" w:pos="5230"/>
        </w:tabs>
        <w:jc w:val="right"/>
        <w:rPr>
          <w:rFonts w:ascii="Traditional Arabic" w:hAnsi="Traditional Arabic" w:cs="Traditional Arabic"/>
          <w:b/>
          <w:bCs/>
          <w:noProof/>
          <w:color w:val="FF0000"/>
          <w:sz w:val="40"/>
          <w:szCs w:val="40"/>
          <w:rtl/>
          <w:lang w:val="es-ES" w:eastAsia="es-ES"/>
        </w:rPr>
      </w:pPr>
      <w:r w:rsidRPr="003656D1">
        <w:rPr>
          <w:rFonts w:ascii="Traditional Arabic" w:hAnsi="Traditional Arabic" w:cs="Traditional Arabic" w:hint="cs"/>
          <w:b/>
          <w:bCs/>
          <w:noProof/>
          <w:color w:val="FF0000"/>
          <w:sz w:val="40"/>
          <w:szCs w:val="40"/>
          <w:rtl/>
          <w:lang w:val="es-ES" w:eastAsia="es-ES"/>
        </w:rPr>
        <w:t>حكم أخذ الإكرامية بدون موافقة المالك:</w:t>
      </w:r>
    </w:p>
    <w:p w:rsidR="00F02C91" w:rsidRDefault="00F02C91" w:rsidP="0075178C">
      <w:pPr>
        <w:tabs>
          <w:tab w:val="left" w:pos="5230"/>
        </w:tabs>
        <w:jc w:val="right"/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</w:pPr>
      <w:r w:rsidRPr="00F02C91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>حكمها حكم النبي</w:t>
      </w:r>
      <w:r w:rsidR="003656D1" w:rsidRPr="003656D1">
        <w:rPr>
          <w:rFonts w:ascii="Sakkal Majalla" w:hAnsi="Sakkal Majalla" w:cs="Sakkal Majalla" w:hint="cs"/>
          <w:b/>
          <w:bCs/>
          <w:sz w:val="36"/>
          <w:szCs w:val="36"/>
          <w:rtl/>
          <w:lang w:eastAsia="fr-FR" w:bidi="ar-TN"/>
        </w:rPr>
        <w:t xml:space="preserve"> ﷺ</w:t>
      </w:r>
      <w:r w:rsidRPr="00F02C91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 xml:space="preserve"> حيث قال: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وَالَّذِي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نَفْسُ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مُحَمَّدٍ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بيَدِهِ،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لا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يَنَالُ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أَحَدٌ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مِنكُم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منها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شيئًا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إلَّا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جَاءَ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به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يَومَ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القِيَامَةِ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يَحْمِلُهُ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علَى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عُنُقِهِ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بَعِيرٌ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له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رُغَاءٌ،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أَوْ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بَقَرَةٌ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لَهَا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خُوَارٌ،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أَوْ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شَاةٌ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تَيْعِرُ،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ثُمَّ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رَفَعَ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يَدَيْهِ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حتَّى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رَأَيْنَا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عُفْرَتَيْ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إبْطَيْهِ،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ثُمَّ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قالَ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: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اللَّهُمَّ،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هلْ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بَلَّغْتُ؟</w:t>
      </w:r>
      <w:r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مَرَّتَيْنِ</w:t>
      </w:r>
      <w:r w:rsidRPr="00F02C91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>.</w:t>
      </w:r>
    </w:p>
    <w:p w:rsidR="003656D1" w:rsidRDefault="00F02C91" w:rsidP="0075178C">
      <w:pPr>
        <w:tabs>
          <w:tab w:val="left" w:pos="5230"/>
        </w:tabs>
        <w:jc w:val="right"/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</w:pP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>أي: حرام أخذها إلا بموافقة المالك</w:t>
      </w:r>
      <w:r w:rsidR="003656D1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>.</w:t>
      </w:r>
    </w:p>
    <w:p w:rsidR="00F02C91" w:rsidRDefault="00E03825" w:rsidP="0075178C">
      <w:pPr>
        <w:tabs>
          <w:tab w:val="left" w:pos="5230"/>
        </w:tabs>
        <w:jc w:val="right"/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</w:pP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>كذلك لا تؤخذُ الإكرامية من المالك</w:t>
      </w:r>
      <w:r w:rsidR="00F02C91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 xml:space="preserve"> بسيف الحياء، أي: بأن يحرجه أمام الناس، فيقول</w:t>
      </w: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 xml:space="preserve"> له</w:t>
      </w:r>
      <w:r w:rsidR="00F02C91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 xml:space="preserve"> الملك: خذها هي لك</w:t>
      </w: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 xml:space="preserve"> حياء</w:t>
      </w:r>
      <w:r w:rsidR="00F02C91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>، فقد قال النبي</w:t>
      </w:r>
      <w:r w:rsidRPr="00E03825">
        <w:rPr>
          <w:rFonts w:ascii="Sakkal Majalla" w:hAnsi="Sakkal Majalla" w:cs="Sakkal Majalla" w:hint="cs"/>
          <w:b/>
          <w:bCs/>
          <w:sz w:val="36"/>
          <w:szCs w:val="36"/>
          <w:rtl/>
          <w:lang w:eastAsia="fr-FR" w:bidi="ar-TN"/>
        </w:rPr>
        <w:t xml:space="preserve"> </w:t>
      </w:r>
      <w:r w:rsidRPr="003656D1">
        <w:rPr>
          <w:rFonts w:ascii="Sakkal Majalla" w:hAnsi="Sakkal Majalla" w:cs="Sakkal Majalla" w:hint="cs"/>
          <w:b/>
          <w:bCs/>
          <w:sz w:val="36"/>
          <w:szCs w:val="36"/>
          <w:rtl/>
          <w:lang w:eastAsia="fr-FR" w:bidi="ar-TN"/>
        </w:rPr>
        <w:t>ﷺ</w:t>
      </w:r>
      <w:r w:rsidR="00F02C91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>:</w:t>
      </w:r>
      <w:r w:rsidR="00F02C91" w:rsidRPr="00F02C91">
        <w:rPr>
          <w:rFonts w:hint="eastAsia"/>
          <w:rtl/>
        </w:rPr>
        <w:t xml:space="preserve"> </w:t>
      </w:r>
      <w:r w:rsidR="00F02C91"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لا</w:t>
      </w:r>
      <w:r w:rsidR="00F02C91"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="00F02C91"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يَحِلُّ</w:t>
      </w:r>
      <w:r w:rsidR="00F02C91"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="00F02C91"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مالُ</w:t>
      </w:r>
      <w:r w:rsidR="00F02C91"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="00F02C91"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امرِيءٍ</w:t>
      </w:r>
      <w:r w:rsidR="00F02C91"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="00F02C91"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مُسلمٍ</w:t>
      </w:r>
      <w:r w:rsidR="00F02C91"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="00F02C91"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إلَّا</w:t>
      </w:r>
      <w:r w:rsidR="00F02C91"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="00F02C91"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بِطِيبِ</w:t>
      </w:r>
      <w:r w:rsidR="00F02C91"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="00F02C91"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نفسٍ</w:t>
      </w:r>
      <w:r w:rsidR="00F02C91" w:rsidRPr="00F02C91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="00F02C91" w:rsidRPr="00F02C91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مِنهُ</w:t>
      </w:r>
      <w:r w:rsidR="00F02C91">
        <w:rPr>
          <w:rStyle w:val="ac"/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footnoteReference w:id="3"/>
      </w:r>
      <w:r w:rsidR="00F02C91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 xml:space="preserve"> </w:t>
      </w:r>
    </w:p>
    <w:p w:rsidR="00E03825" w:rsidRDefault="00E03825" w:rsidP="0075178C">
      <w:pPr>
        <w:tabs>
          <w:tab w:val="left" w:pos="5230"/>
        </w:tabs>
        <w:jc w:val="right"/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</w:pP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>وقال</w:t>
      </w:r>
      <w:r w:rsidR="004075F2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 xml:space="preserve"> البعض: ما أُخذَ بسيف الحياء كالذي</w:t>
      </w: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 xml:space="preserve"> أخذ بسيف الغصب.</w:t>
      </w:r>
    </w:p>
    <w:p w:rsidR="004075F2" w:rsidRDefault="004075F2" w:rsidP="0075178C">
      <w:pPr>
        <w:tabs>
          <w:tab w:val="left" w:pos="5230"/>
        </w:tabs>
        <w:jc w:val="right"/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</w:pP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>وقيل: ما</w:t>
      </w:r>
      <w:r w:rsidRPr="004075F2"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 xml:space="preserve"> </w:t>
      </w: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>أُخذَ بسيف الحياء فهو حرام.</w:t>
      </w:r>
    </w:p>
    <w:p w:rsidR="004075F2" w:rsidRDefault="004075F2" w:rsidP="0075178C">
      <w:pPr>
        <w:tabs>
          <w:tab w:val="left" w:pos="5230"/>
        </w:tabs>
        <w:jc w:val="right"/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</w:pP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lastRenderedPageBreak/>
        <w:t>وقيل: ما</w:t>
      </w:r>
      <w:r w:rsidRPr="004075F2">
        <w:rPr>
          <w:rFonts w:hint="eastAsia"/>
          <w:rtl/>
        </w:rPr>
        <w:t xml:space="preserve"> </w:t>
      </w:r>
      <w:r w:rsidRPr="004075F2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أُخذَ</w:t>
      </w:r>
      <w:r w:rsidRPr="004075F2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4075F2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بسيف</w:t>
      </w:r>
      <w:r w:rsidRPr="004075F2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4075F2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الحياء</w:t>
      </w: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 xml:space="preserve"> فالنار أولى بهِ، وغير ذلك من الألفاظ. </w:t>
      </w:r>
    </w:p>
    <w:p w:rsidR="004075F2" w:rsidRDefault="00E03825" w:rsidP="0075178C">
      <w:pPr>
        <w:tabs>
          <w:tab w:val="left" w:pos="5230"/>
        </w:tabs>
        <w:jc w:val="right"/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</w:pP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قال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ابن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حجر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الهيتميُّ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في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«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الفتاوى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الكبرى»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>: «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ألا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ترى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إلى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حكاية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الإجماع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على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أن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مَن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أُخذ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منه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شيءٌ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على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سبيل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الحياء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من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غير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رضًا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منه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بذلك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أنه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لا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يملكه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الآخذ،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وعلَّلوه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بأن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فيه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إكراهًا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بسيف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الحياء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فهو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كالإكراه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بالسيف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الحِسِّي،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بل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كثيرون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يُقابلون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هذا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السيف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ويتحمَّلون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مرار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جُرحه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ولا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يقابلون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الأوَّل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خوفًا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على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مروءتهم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ووجاهتهم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التي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يؤثرها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العقلاء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ويخافون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عليها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أتمَّ</w:t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الخوف»</w:t>
      </w:r>
      <w:r>
        <w:rPr>
          <w:rStyle w:val="ac"/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footnoteReference w:id="4"/>
      </w:r>
      <w:r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. </w:t>
      </w:r>
    </w:p>
    <w:p w:rsidR="00A54EF7" w:rsidRPr="00A54EF7" w:rsidRDefault="00A54EF7" w:rsidP="0075178C">
      <w:pPr>
        <w:tabs>
          <w:tab w:val="left" w:pos="5230"/>
        </w:tabs>
        <w:jc w:val="right"/>
        <w:rPr>
          <w:rFonts w:ascii="Traditional Arabic" w:hAnsi="Traditional Arabic" w:cs="Traditional Arabic" w:hint="cs"/>
          <w:b/>
          <w:bCs/>
          <w:noProof/>
          <w:color w:val="FF0000"/>
          <w:sz w:val="40"/>
          <w:szCs w:val="40"/>
          <w:rtl/>
          <w:lang w:val="es-ES" w:eastAsia="es-ES"/>
        </w:rPr>
      </w:pPr>
      <w:r w:rsidRPr="00A54EF7">
        <w:rPr>
          <w:rFonts w:ascii="Traditional Arabic" w:hAnsi="Traditional Arabic" w:cs="Traditional Arabic" w:hint="cs"/>
          <w:b/>
          <w:bCs/>
          <w:noProof/>
          <w:color w:val="FF0000"/>
          <w:sz w:val="40"/>
          <w:szCs w:val="40"/>
          <w:rtl/>
          <w:lang w:val="es-ES" w:eastAsia="es-ES"/>
        </w:rPr>
        <w:t>الخلاصة:</w:t>
      </w:r>
    </w:p>
    <w:p w:rsidR="00A54EF7" w:rsidRDefault="00A54EF7" w:rsidP="0075178C">
      <w:pPr>
        <w:tabs>
          <w:tab w:val="left" w:pos="5230"/>
        </w:tabs>
        <w:jc w:val="right"/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</w:pP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>- الإكرامية من حق المالك يتصرف فيها كما يشاء.</w:t>
      </w:r>
    </w:p>
    <w:p w:rsidR="00A54EF7" w:rsidRDefault="00A54EF7" w:rsidP="0075178C">
      <w:pPr>
        <w:tabs>
          <w:tab w:val="left" w:pos="5230"/>
        </w:tabs>
        <w:jc w:val="right"/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</w:pP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>- لاتؤخذ الإكرامية من المالك إلا بطيب خاطره وعن قناعة منه.</w:t>
      </w:r>
    </w:p>
    <w:p w:rsidR="00A54EF7" w:rsidRDefault="00A54EF7" w:rsidP="0075178C">
      <w:pPr>
        <w:tabs>
          <w:tab w:val="left" w:pos="5230"/>
        </w:tabs>
        <w:jc w:val="right"/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</w:pP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>-</w:t>
      </w:r>
      <w:bookmarkStart w:id="0" w:name="_GoBack"/>
      <w:bookmarkEnd w:id="0"/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 xml:space="preserve"> أخذ الإكرامية بدون علم المالك: حرام.</w:t>
      </w:r>
    </w:p>
    <w:p w:rsidR="00E03825" w:rsidRDefault="004075F2" w:rsidP="004075F2">
      <w:pPr>
        <w:tabs>
          <w:tab w:val="left" w:pos="5230"/>
        </w:tabs>
        <w:jc w:val="center"/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</w:pP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 xml:space="preserve">هذا </w:t>
      </w:r>
      <w:r w:rsidR="00E03825"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واللهُ</w:t>
      </w:r>
      <w:r w:rsidR="00E03825"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="00E03825"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تعالى</w:t>
      </w:r>
      <w:r w:rsidR="00E03825"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="00E03825"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أعلى</w:t>
      </w:r>
      <w:r w:rsidR="00E03825" w:rsidRPr="00E03825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  <w:t xml:space="preserve"> </w:t>
      </w:r>
      <w:r w:rsidR="00E03825" w:rsidRPr="00E03825">
        <w:rPr>
          <w:rFonts w:ascii="Traditional Arabic" w:hAnsi="Traditional Arabic" w:cs="Traditional Arabic" w:hint="eastAsia"/>
          <w:b/>
          <w:bCs/>
          <w:noProof/>
          <w:sz w:val="40"/>
          <w:szCs w:val="40"/>
          <w:rtl/>
          <w:lang w:val="es-ES" w:eastAsia="es-ES"/>
        </w:rPr>
        <w:t>وأعلم</w:t>
      </w:r>
    </w:p>
    <w:p w:rsidR="004075F2" w:rsidRDefault="004075F2" w:rsidP="004075F2">
      <w:pPr>
        <w:tabs>
          <w:tab w:val="left" w:pos="5230"/>
        </w:tabs>
        <w:jc w:val="right"/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</w:pP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>كتبه:</w:t>
      </w:r>
    </w:p>
    <w:p w:rsidR="004075F2" w:rsidRPr="00F02C91" w:rsidRDefault="004075F2" w:rsidP="004075F2">
      <w:pPr>
        <w:tabs>
          <w:tab w:val="left" w:pos="5230"/>
        </w:tabs>
        <w:jc w:val="right"/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es-ES" w:eastAsia="es-ES"/>
        </w:rPr>
      </w:pP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es-ES" w:eastAsia="es-ES"/>
        </w:rPr>
        <w:t>الدكتور: عصام الدين إبراهيم النقيلي</w:t>
      </w:r>
    </w:p>
    <w:p w:rsidR="00F02C91" w:rsidRDefault="00F02C91" w:rsidP="0075178C">
      <w:pPr>
        <w:tabs>
          <w:tab w:val="left" w:pos="5230"/>
        </w:tabs>
        <w:jc w:val="right"/>
        <w:rPr>
          <w:rFonts w:ascii="Traditional Arabic" w:hAnsi="Traditional Arabic" w:cs="Traditional Arabic"/>
          <w:b/>
          <w:bCs/>
          <w:noProof/>
          <w:sz w:val="44"/>
          <w:szCs w:val="44"/>
          <w:rtl/>
          <w:lang w:val="es-ES" w:eastAsia="es-ES"/>
        </w:rPr>
      </w:pPr>
    </w:p>
    <w:p w:rsidR="001177B2" w:rsidRPr="001177B2" w:rsidRDefault="001177B2" w:rsidP="001177B2">
      <w:pPr>
        <w:tabs>
          <w:tab w:val="left" w:pos="5230"/>
        </w:tabs>
        <w:rPr>
          <w:rFonts w:ascii="Traditional Arabic" w:hAnsi="Traditional Arabic" w:cs="Traditional Arabic"/>
          <w:b/>
          <w:bCs/>
          <w:outline/>
          <w:noProof/>
          <w:color w:val="ED7D31" w:themeColor="accent2"/>
          <w:sz w:val="56"/>
          <w:szCs w:val="56"/>
          <w:lang w:val="es-ES" w:eastAsia="es-E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247701" w:rsidRDefault="000165D6" w:rsidP="000165D6">
      <w:pPr>
        <w:tabs>
          <w:tab w:val="left" w:pos="5839"/>
        </w:tabs>
        <w:rPr>
          <w:rFonts w:ascii="Traditional Arabic" w:hAnsi="Traditional Arabic" w:cs="Traditional Arabic"/>
          <w:b/>
          <w:bCs/>
          <w:sz w:val="44"/>
          <w:szCs w:val="44"/>
          <w:lang w:bidi="ar-TN"/>
        </w:rPr>
      </w:pPr>
      <w:r>
        <w:rPr>
          <w:rFonts w:ascii="Traditional Arabic" w:hAnsi="Traditional Arabic" w:cs="Traditional Arabic"/>
          <w:b/>
          <w:bCs/>
          <w:sz w:val="44"/>
          <w:szCs w:val="44"/>
          <w:lang w:bidi="ar-TN"/>
        </w:rPr>
        <w:lastRenderedPageBreak/>
        <w:tab/>
      </w:r>
    </w:p>
    <w:p w:rsidR="00247701" w:rsidRDefault="00247701" w:rsidP="00247701">
      <w:pPr>
        <w:tabs>
          <w:tab w:val="left" w:pos="3235"/>
          <w:tab w:val="right" w:pos="8306"/>
        </w:tabs>
        <w:rPr>
          <w:rFonts w:ascii="Traditional Arabic" w:hAnsi="Traditional Arabic" w:cs="Traditional Arabic"/>
          <w:b/>
          <w:bCs/>
          <w:sz w:val="44"/>
          <w:szCs w:val="44"/>
          <w:lang w:bidi="ar-TN"/>
        </w:rPr>
      </w:pPr>
    </w:p>
    <w:p w:rsidR="00247701" w:rsidRDefault="00247701" w:rsidP="004075F2">
      <w:pPr>
        <w:tabs>
          <w:tab w:val="left" w:pos="1421"/>
        </w:tabs>
        <w:rPr>
          <w:rFonts w:ascii="Traditional Arabic" w:hAnsi="Traditional Arabic" w:cs="Traditional Arabic"/>
          <w:b/>
          <w:bCs/>
          <w:sz w:val="44"/>
          <w:szCs w:val="44"/>
          <w:lang w:bidi="ar-TN"/>
        </w:rPr>
      </w:pPr>
    </w:p>
    <w:p w:rsidR="00B20612" w:rsidRPr="00B20612" w:rsidRDefault="00B20612" w:rsidP="00B20612">
      <w:pPr>
        <w:jc w:val="right"/>
        <w:rPr>
          <w:b/>
          <w:bCs/>
          <w:sz w:val="56"/>
          <w:szCs w:val="56"/>
          <w:rtl/>
          <w:lang w:bidi="ar-TN"/>
        </w:rPr>
      </w:pPr>
    </w:p>
    <w:sectPr w:rsidR="00B20612" w:rsidRPr="00B20612" w:rsidSect="00255D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AF" w:rsidRDefault="00E852AF" w:rsidP="00110EFF">
      <w:pPr>
        <w:spacing w:after="0" w:line="240" w:lineRule="auto"/>
      </w:pPr>
      <w:r>
        <w:separator/>
      </w:r>
    </w:p>
  </w:endnote>
  <w:endnote w:type="continuationSeparator" w:id="0">
    <w:p w:rsidR="00E852AF" w:rsidRDefault="00E852AF" w:rsidP="00110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AF" w:rsidRDefault="00E852AF" w:rsidP="00110EFF">
      <w:pPr>
        <w:spacing w:after="0" w:line="240" w:lineRule="auto"/>
      </w:pPr>
      <w:r>
        <w:separator/>
      </w:r>
    </w:p>
  </w:footnote>
  <w:footnote w:type="continuationSeparator" w:id="0">
    <w:p w:rsidR="00E852AF" w:rsidRDefault="00E852AF" w:rsidP="00110EFF">
      <w:pPr>
        <w:spacing w:after="0" w:line="240" w:lineRule="auto"/>
      </w:pPr>
      <w:r>
        <w:continuationSeparator/>
      </w:r>
    </w:p>
  </w:footnote>
  <w:footnote w:id="1">
    <w:p w:rsidR="004F69AF" w:rsidRDefault="004F69AF">
      <w:pPr>
        <w:pStyle w:val="ab"/>
        <w:rPr>
          <w:rtl/>
          <w:lang w:bidi="ar-TN"/>
        </w:rPr>
      </w:pPr>
      <w:r w:rsidRPr="004F69AF">
        <w:rPr>
          <w:rFonts w:hint="eastAsia"/>
          <w:rtl/>
        </w:rPr>
        <w:t>أخرجه</w:t>
      </w:r>
      <w:r w:rsidRPr="004F69AF">
        <w:rPr>
          <w:rtl/>
        </w:rPr>
        <w:t xml:space="preserve"> </w:t>
      </w:r>
      <w:r w:rsidRPr="004F69AF">
        <w:rPr>
          <w:rFonts w:hint="eastAsia"/>
          <w:rtl/>
        </w:rPr>
        <w:t>البخاري</w:t>
      </w:r>
      <w:r w:rsidRPr="004F69AF">
        <w:rPr>
          <w:rtl/>
        </w:rPr>
        <w:t xml:space="preserve"> (7174)</w:t>
      </w:r>
      <w:r w:rsidRPr="004F69AF">
        <w:rPr>
          <w:rFonts w:hint="eastAsia"/>
          <w:rtl/>
        </w:rPr>
        <w:t>،</w:t>
      </w:r>
      <w:r w:rsidRPr="004F69AF">
        <w:rPr>
          <w:rtl/>
        </w:rPr>
        <w:t xml:space="preserve"> </w:t>
      </w:r>
      <w:r w:rsidRPr="004F69AF">
        <w:rPr>
          <w:rFonts w:hint="eastAsia"/>
          <w:rtl/>
        </w:rPr>
        <w:t>ومسلم</w:t>
      </w:r>
      <w:r w:rsidRPr="004F69AF">
        <w:rPr>
          <w:rtl/>
        </w:rPr>
        <w:t xml:space="preserve"> (1832)</w:t>
      </w:r>
      <w:r>
        <w:rPr>
          <w:rFonts w:hint="cs"/>
          <w:rtl/>
        </w:rPr>
        <w:t xml:space="preserve"> واللفظ له. </w:t>
      </w:r>
      <w:r>
        <w:rPr>
          <w:rStyle w:val="ac"/>
        </w:rPr>
        <w:footnoteRef/>
      </w:r>
      <w:r>
        <w:t xml:space="preserve"> </w:t>
      </w:r>
    </w:p>
  </w:footnote>
  <w:footnote w:id="2">
    <w:p w:rsidR="0075178C" w:rsidRDefault="0075178C" w:rsidP="0075178C">
      <w:pPr>
        <w:pStyle w:val="ab"/>
        <w:rPr>
          <w:rtl/>
        </w:rPr>
      </w:pPr>
      <w:r>
        <w:rPr>
          <w:rFonts w:hint="cs"/>
          <w:rtl/>
        </w:rPr>
        <w:t xml:space="preserve">  للمزيد ينظر: الخلاصة في علم الأصول من حد الفقه الجزء الثالث الصفحة رقم 96.  </w:t>
      </w:r>
      <w:r>
        <w:rPr>
          <w:rStyle w:val="ac"/>
        </w:rPr>
        <w:footnoteRef/>
      </w:r>
      <w:r>
        <w:t xml:space="preserve"> </w:t>
      </w:r>
    </w:p>
  </w:footnote>
  <w:footnote w:id="3">
    <w:p w:rsidR="00F02C91" w:rsidRDefault="00F02C91">
      <w:pPr>
        <w:pStyle w:val="ab"/>
        <w:rPr>
          <w:rtl/>
          <w:lang w:bidi="ar-TN"/>
        </w:rPr>
      </w:pPr>
      <w:r>
        <w:rPr>
          <w:rFonts w:hint="cs"/>
          <w:rtl/>
        </w:rPr>
        <w:t xml:space="preserve"> ينظر: صحيح الجامع للألباني 7662.</w:t>
      </w:r>
      <w:r>
        <w:rPr>
          <w:rStyle w:val="ac"/>
        </w:rPr>
        <w:footnoteRef/>
      </w:r>
      <w:r>
        <w:t xml:space="preserve"> </w:t>
      </w:r>
    </w:p>
  </w:footnote>
  <w:footnote w:id="4">
    <w:p w:rsidR="00E03825" w:rsidRDefault="00E03825">
      <w:pPr>
        <w:pStyle w:val="ab"/>
        <w:rPr>
          <w:rtl/>
          <w:lang w:bidi="ar-TN"/>
        </w:rPr>
      </w:pPr>
      <w:r>
        <w:rPr>
          <w:rFonts w:hint="cs"/>
          <w:rtl/>
        </w:rPr>
        <w:t xml:space="preserve">  </w:t>
      </w:r>
      <w:r w:rsidRPr="00E03825">
        <w:rPr>
          <w:rFonts w:hint="eastAsia"/>
          <w:rtl/>
        </w:rPr>
        <w:t>الفتاوى</w:t>
      </w:r>
      <w:r w:rsidRPr="00E03825">
        <w:rPr>
          <w:rtl/>
        </w:rPr>
        <w:t xml:space="preserve"> </w:t>
      </w:r>
      <w:r w:rsidRPr="00E03825">
        <w:rPr>
          <w:rFonts w:hint="eastAsia"/>
          <w:rtl/>
        </w:rPr>
        <w:t>الفقهية</w:t>
      </w:r>
      <w:r w:rsidRPr="00E03825">
        <w:rPr>
          <w:rtl/>
        </w:rPr>
        <w:t xml:space="preserve"> </w:t>
      </w:r>
      <w:r w:rsidRPr="00E03825">
        <w:rPr>
          <w:rFonts w:hint="eastAsia"/>
          <w:rtl/>
        </w:rPr>
        <w:t>الكبرى»</w:t>
      </w:r>
      <w:r w:rsidRPr="00E03825">
        <w:rPr>
          <w:rtl/>
        </w:rPr>
        <w:t xml:space="preserve"> </w:t>
      </w:r>
      <w:r w:rsidRPr="00E03825">
        <w:rPr>
          <w:rFonts w:hint="eastAsia"/>
          <w:rtl/>
        </w:rPr>
        <w:t>لابن</w:t>
      </w:r>
      <w:r w:rsidRPr="00E03825">
        <w:rPr>
          <w:rtl/>
        </w:rPr>
        <w:t xml:space="preserve"> </w:t>
      </w:r>
      <w:r w:rsidRPr="00E03825">
        <w:rPr>
          <w:rFonts w:hint="eastAsia"/>
          <w:rtl/>
        </w:rPr>
        <w:t>حجر</w:t>
      </w:r>
      <w:r w:rsidRPr="00E03825">
        <w:rPr>
          <w:rtl/>
        </w:rPr>
        <w:t xml:space="preserve"> </w:t>
      </w:r>
      <w:proofErr w:type="spellStart"/>
      <w:r w:rsidRPr="00E03825">
        <w:rPr>
          <w:rFonts w:hint="eastAsia"/>
          <w:rtl/>
        </w:rPr>
        <w:t>الهيتمي</w:t>
      </w:r>
      <w:proofErr w:type="spellEnd"/>
      <w:r w:rsidRPr="00E03825">
        <w:rPr>
          <w:rtl/>
        </w:rPr>
        <w:t xml:space="preserve"> (3/30).</w:t>
      </w:r>
      <w:r>
        <w:rPr>
          <w:rFonts w:hint="cs"/>
          <w:rtl/>
        </w:rPr>
        <w:t xml:space="preserve"> </w:t>
      </w:r>
      <w:r>
        <w:rPr>
          <w:rStyle w:val="ac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9A6"/>
    <w:multiLevelType w:val="hybridMultilevel"/>
    <w:tmpl w:val="83442664"/>
    <w:lvl w:ilvl="0" w:tplc="5762C1E8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F97AEF"/>
    <w:multiLevelType w:val="hybridMultilevel"/>
    <w:tmpl w:val="4D401856"/>
    <w:lvl w:ilvl="0" w:tplc="5AEA2874">
      <w:start w:val="1"/>
      <w:numFmt w:val="decimal"/>
      <w:lvlText w:val="%1)"/>
      <w:lvlJc w:val="left"/>
      <w:pPr>
        <w:ind w:left="4755" w:hanging="2955"/>
      </w:pPr>
      <w:rPr>
        <w:rFonts w:ascii="Andalus" w:hAnsi="Andalus" w:cs="Andalus"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22F13AC3"/>
    <w:multiLevelType w:val="hybridMultilevel"/>
    <w:tmpl w:val="F7CCEFBE"/>
    <w:lvl w:ilvl="0" w:tplc="D36C9746">
      <w:start w:val="1"/>
      <w:numFmt w:val="decimal"/>
      <w:lvlText w:val="%1)"/>
      <w:lvlJc w:val="left"/>
      <w:pPr>
        <w:ind w:left="1362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77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84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91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99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106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113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120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12780" w:hanging="180"/>
      </w:pPr>
      <w:rPr>
        <w:rFonts w:cs="Times New Roman"/>
      </w:rPr>
    </w:lvl>
  </w:abstractNum>
  <w:abstractNum w:abstractNumId="3">
    <w:nsid w:val="2F311F4E"/>
    <w:multiLevelType w:val="hybridMultilevel"/>
    <w:tmpl w:val="EC44AAF6"/>
    <w:lvl w:ilvl="0" w:tplc="EA82332E">
      <w:start w:val="1"/>
      <w:numFmt w:val="decimal"/>
      <w:lvlText w:val="%1)"/>
      <w:lvlJc w:val="left"/>
      <w:pPr>
        <w:ind w:left="672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7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7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8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9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9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10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11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12120" w:hanging="180"/>
      </w:pPr>
      <w:rPr>
        <w:rFonts w:cs="Times New Roman"/>
      </w:rPr>
    </w:lvl>
  </w:abstractNum>
  <w:abstractNum w:abstractNumId="4">
    <w:nsid w:val="32EE1DD6"/>
    <w:multiLevelType w:val="hybridMultilevel"/>
    <w:tmpl w:val="BF3E3D3A"/>
    <w:lvl w:ilvl="0" w:tplc="F3E8D66E">
      <w:numFmt w:val="bullet"/>
      <w:lvlText w:val=""/>
      <w:lvlJc w:val="left"/>
      <w:pPr>
        <w:ind w:left="1080" w:hanging="72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57A44"/>
    <w:multiLevelType w:val="hybridMultilevel"/>
    <w:tmpl w:val="82267600"/>
    <w:lvl w:ilvl="0" w:tplc="C7165126">
      <w:start w:val="1"/>
      <w:numFmt w:val="decimal"/>
      <w:lvlText w:val="%1)"/>
      <w:lvlJc w:val="left"/>
      <w:pPr>
        <w:ind w:left="180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536346E6"/>
    <w:multiLevelType w:val="hybridMultilevel"/>
    <w:tmpl w:val="91DAD7AE"/>
    <w:lvl w:ilvl="0" w:tplc="E92E0852">
      <w:start w:val="1"/>
      <w:numFmt w:val="decimal"/>
      <w:lvlText w:val="%1)"/>
      <w:lvlJc w:val="left"/>
      <w:pPr>
        <w:ind w:left="660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7">
    <w:nsid w:val="5C4C0ED4"/>
    <w:multiLevelType w:val="hybridMultilevel"/>
    <w:tmpl w:val="79CC0070"/>
    <w:lvl w:ilvl="0" w:tplc="6988E082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D8798B"/>
    <w:multiLevelType w:val="hybridMultilevel"/>
    <w:tmpl w:val="3D94B306"/>
    <w:lvl w:ilvl="0" w:tplc="D36C9746">
      <w:start w:val="1"/>
      <w:numFmt w:val="decimal"/>
      <w:lvlText w:val="%1)"/>
      <w:lvlJc w:val="left"/>
      <w:pPr>
        <w:ind w:left="1392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80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87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94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102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109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116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123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13080" w:hanging="180"/>
      </w:pPr>
      <w:rPr>
        <w:rFonts w:cs="Times New Roman"/>
      </w:rPr>
    </w:lvl>
  </w:abstractNum>
  <w:abstractNum w:abstractNumId="9">
    <w:nsid w:val="6B2E048C"/>
    <w:multiLevelType w:val="hybridMultilevel"/>
    <w:tmpl w:val="F612D854"/>
    <w:lvl w:ilvl="0" w:tplc="040C0011">
      <w:start w:val="1"/>
      <w:numFmt w:val="decimal"/>
      <w:lvlText w:val="%1)"/>
      <w:lvlJc w:val="left"/>
      <w:pPr>
        <w:ind w:left="14335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505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577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1649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1721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1793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1865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1937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20095" w:hanging="180"/>
      </w:pPr>
      <w:rPr>
        <w:rFonts w:cs="Times New Roman"/>
      </w:rPr>
    </w:lvl>
  </w:abstractNum>
  <w:abstractNum w:abstractNumId="10">
    <w:nsid w:val="721854FA"/>
    <w:multiLevelType w:val="hybridMultilevel"/>
    <w:tmpl w:val="ABC2A12A"/>
    <w:lvl w:ilvl="0" w:tplc="6BF05B72">
      <w:start w:val="1"/>
      <w:numFmt w:val="decimal"/>
      <w:lvlText w:val="%1)"/>
      <w:lvlJc w:val="left"/>
      <w:pPr>
        <w:ind w:left="180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745E0857"/>
    <w:multiLevelType w:val="hybridMultilevel"/>
    <w:tmpl w:val="DAB86820"/>
    <w:lvl w:ilvl="0" w:tplc="D36C9746">
      <w:start w:val="1"/>
      <w:numFmt w:val="decimal"/>
      <w:lvlText w:val="%1)"/>
      <w:lvlJc w:val="left"/>
      <w:pPr>
        <w:ind w:left="732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76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84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91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98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105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112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120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1272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49"/>
    <w:rsid w:val="000165D6"/>
    <w:rsid w:val="00025812"/>
    <w:rsid w:val="00056D43"/>
    <w:rsid w:val="000612AB"/>
    <w:rsid w:val="00085353"/>
    <w:rsid w:val="000877F2"/>
    <w:rsid w:val="000903EC"/>
    <w:rsid w:val="00093B56"/>
    <w:rsid w:val="00095BAF"/>
    <w:rsid w:val="000E4BFD"/>
    <w:rsid w:val="00110EFF"/>
    <w:rsid w:val="00116AC5"/>
    <w:rsid w:val="001177B2"/>
    <w:rsid w:val="001444CF"/>
    <w:rsid w:val="00157156"/>
    <w:rsid w:val="00160549"/>
    <w:rsid w:val="001A094F"/>
    <w:rsid w:val="001D0EEF"/>
    <w:rsid w:val="001F562F"/>
    <w:rsid w:val="002146E0"/>
    <w:rsid w:val="00220C89"/>
    <w:rsid w:val="00247701"/>
    <w:rsid w:val="00255D96"/>
    <w:rsid w:val="00273774"/>
    <w:rsid w:val="00291CED"/>
    <w:rsid w:val="002B6506"/>
    <w:rsid w:val="002C3D41"/>
    <w:rsid w:val="002F3C0B"/>
    <w:rsid w:val="0033644D"/>
    <w:rsid w:val="00337770"/>
    <w:rsid w:val="003656D1"/>
    <w:rsid w:val="00372FA4"/>
    <w:rsid w:val="003B3EFF"/>
    <w:rsid w:val="003D00B5"/>
    <w:rsid w:val="003E4DA0"/>
    <w:rsid w:val="004075F2"/>
    <w:rsid w:val="00422797"/>
    <w:rsid w:val="00447E6F"/>
    <w:rsid w:val="0045167B"/>
    <w:rsid w:val="00464997"/>
    <w:rsid w:val="00473971"/>
    <w:rsid w:val="00490D71"/>
    <w:rsid w:val="004A154C"/>
    <w:rsid w:val="004A750E"/>
    <w:rsid w:val="004C4085"/>
    <w:rsid w:val="004E458C"/>
    <w:rsid w:val="004E5558"/>
    <w:rsid w:val="004F69AF"/>
    <w:rsid w:val="00501185"/>
    <w:rsid w:val="00567602"/>
    <w:rsid w:val="00567802"/>
    <w:rsid w:val="005716D0"/>
    <w:rsid w:val="0057398B"/>
    <w:rsid w:val="00587325"/>
    <w:rsid w:val="005B5FD3"/>
    <w:rsid w:val="005D7B1F"/>
    <w:rsid w:val="006228FB"/>
    <w:rsid w:val="006A2EAB"/>
    <w:rsid w:val="006D4B8D"/>
    <w:rsid w:val="006D7327"/>
    <w:rsid w:val="006F25E9"/>
    <w:rsid w:val="00700939"/>
    <w:rsid w:val="0071789B"/>
    <w:rsid w:val="00731C45"/>
    <w:rsid w:val="0075178C"/>
    <w:rsid w:val="00755DF2"/>
    <w:rsid w:val="00761A2B"/>
    <w:rsid w:val="00762BB4"/>
    <w:rsid w:val="0079125A"/>
    <w:rsid w:val="007B6417"/>
    <w:rsid w:val="007D43A6"/>
    <w:rsid w:val="007F7090"/>
    <w:rsid w:val="007F7CA2"/>
    <w:rsid w:val="00813606"/>
    <w:rsid w:val="00814EFB"/>
    <w:rsid w:val="0082146E"/>
    <w:rsid w:val="0084256C"/>
    <w:rsid w:val="008614FF"/>
    <w:rsid w:val="00871718"/>
    <w:rsid w:val="00905E61"/>
    <w:rsid w:val="009174DF"/>
    <w:rsid w:val="00931C91"/>
    <w:rsid w:val="00933CC2"/>
    <w:rsid w:val="00937CCA"/>
    <w:rsid w:val="009B00DF"/>
    <w:rsid w:val="009D36FF"/>
    <w:rsid w:val="009D58D7"/>
    <w:rsid w:val="009E194C"/>
    <w:rsid w:val="009E76A6"/>
    <w:rsid w:val="009F1ACF"/>
    <w:rsid w:val="00A003BA"/>
    <w:rsid w:val="00A029F2"/>
    <w:rsid w:val="00A21161"/>
    <w:rsid w:val="00A43142"/>
    <w:rsid w:val="00A54EF7"/>
    <w:rsid w:val="00A72FB9"/>
    <w:rsid w:val="00A83FD0"/>
    <w:rsid w:val="00A9287B"/>
    <w:rsid w:val="00B20612"/>
    <w:rsid w:val="00B3593F"/>
    <w:rsid w:val="00B5267B"/>
    <w:rsid w:val="00B75732"/>
    <w:rsid w:val="00B82797"/>
    <w:rsid w:val="00B86DC8"/>
    <w:rsid w:val="00BB41AE"/>
    <w:rsid w:val="00C73B67"/>
    <w:rsid w:val="00CC30B9"/>
    <w:rsid w:val="00CD4054"/>
    <w:rsid w:val="00CE14F4"/>
    <w:rsid w:val="00CF0850"/>
    <w:rsid w:val="00CF5AED"/>
    <w:rsid w:val="00D26D73"/>
    <w:rsid w:val="00D27F0F"/>
    <w:rsid w:val="00D61214"/>
    <w:rsid w:val="00D8570A"/>
    <w:rsid w:val="00DA202C"/>
    <w:rsid w:val="00DD6781"/>
    <w:rsid w:val="00DF153C"/>
    <w:rsid w:val="00DF643F"/>
    <w:rsid w:val="00E03825"/>
    <w:rsid w:val="00E232CB"/>
    <w:rsid w:val="00E42947"/>
    <w:rsid w:val="00E62B03"/>
    <w:rsid w:val="00E852AF"/>
    <w:rsid w:val="00E8752B"/>
    <w:rsid w:val="00E9494B"/>
    <w:rsid w:val="00EB0DDC"/>
    <w:rsid w:val="00EB3699"/>
    <w:rsid w:val="00EB6DCE"/>
    <w:rsid w:val="00ED2550"/>
    <w:rsid w:val="00F02C91"/>
    <w:rsid w:val="00F22822"/>
    <w:rsid w:val="00F71164"/>
    <w:rsid w:val="00F94E9F"/>
    <w:rsid w:val="00FC01B2"/>
    <w:rsid w:val="00FD0603"/>
    <w:rsid w:val="00FD2CF7"/>
    <w:rsid w:val="00FE1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D96"/>
    <w:pPr>
      <w:spacing w:after="160" w:line="259" w:lineRule="auto"/>
    </w:pPr>
    <w:rPr>
      <w:rFonts w:cs="Arial"/>
      <w:sz w:val="22"/>
      <w:szCs w:val="22"/>
      <w:lang w:val="fr-FR"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762BB4"/>
    <w:pPr>
      <w:keepNext/>
      <w:keepLines/>
      <w:spacing w:before="200" w:after="0" w:line="276" w:lineRule="auto"/>
      <w:outlineLvl w:val="2"/>
    </w:pPr>
    <w:rPr>
      <w:rFonts w:ascii="Calibri Light" w:hAnsi="Calibri Light" w:cs="Times New Roman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locked/>
    <w:rsid w:val="00762BB4"/>
    <w:rPr>
      <w:rFonts w:ascii="Calibri Light" w:hAnsi="Calibri Light" w:cs="Times New Roman"/>
      <w:b/>
      <w:bCs/>
      <w:color w:val="5B9BD5"/>
    </w:rPr>
  </w:style>
  <w:style w:type="paragraph" w:styleId="a3">
    <w:name w:val="List Paragraph"/>
    <w:basedOn w:val="a"/>
    <w:uiPriority w:val="34"/>
    <w:qFormat/>
    <w:rsid w:val="00E9494B"/>
    <w:pPr>
      <w:ind w:left="720"/>
      <w:contextualSpacing/>
    </w:pPr>
  </w:style>
  <w:style w:type="paragraph" w:styleId="a4">
    <w:name w:val="Title"/>
    <w:basedOn w:val="a"/>
    <w:next w:val="a"/>
    <w:link w:val="Char"/>
    <w:uiPriority w:val="10"/>
    <w:qFormat/>
    <w:rsid w:val="00762BB4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locked/>
    <w:rsid w:val="00762BB4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a5">
    <w:name w:val="endnote text"/>
    <w:basedOn w:val="a"/>
    <w:link w:val="Char0"/>
    <w:uiPriority w:val="99"/>
    <w:semiHidden/>
    <w:unhideWhenUsed/>
    <w:rsid w:val="00762BB4"/>
    <w:pPr>
      <w:spacing w:after="0" w:line="240" w:lineRule="auto"/>
    </w:pPr>
    <w:rPr>
      <w:sz w:val="20"/>
      <w:szCs w:val="20"/>
    </w:rPr>
  </w:style>
  <w:style w:type="character" w:customStyle="1" w:styleId="Char0">
    <w:name w:val="نص تعليق ختامي Char"/>
    <w:basedOn w:val="a0"/>
    <w:link w:val="a5"/>
    <w:uiPriority w:val="99"/>
    <w:semiHidden/>
    <w:locked/>
    <w:rsid w:val="00762BB4"/>
    <w:rPr>
      <w:rFonts w:cs="Times New Roman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762BB4"/>
    <w:rPr>
      <w:rFonts w:cs="Times New Roman"/>
      <w:vertAlign w:val="superscript"/>
    </w:rPr>
  </w:style>
  <w:style w:type="paragraph" w:styleId="a7">
    <w:name w:val="Balloon Text"/>
    <w:basedOn w:val="a"/>
    <w:link w:val="Char1"/>
    <w:uiPriority w:val="99"/>
    <w:semiHidden/>
    <w:unhideWhenUsed/>
    <w:rsid w:val="0076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locked/>
    <w:rsid w:val="00762BB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2"/>
    <w:uiPriority w:val="99"/>
    <w:unhideWhenUsed/>
    <w:rsid w:val="00762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2">
    <w:name w:val="رأس الصفحة Char"/>
    <w:basedOn w:val="a0"/>
    <w:link w:val="a8"/>
    <w:uiPriority w:val="99"/>
    <w:locked/>
    <w:rsid w:val="00762BB4"/>
    <w:rPr>
      <w:rFonts w:cs="Times New Roman"/>
    </w:rPr>
  </w:style>
  <w:style w:type="paragraph" w:styleId="a9">
    <w:name w:val="footer"/>
    <w:basedOn w:val="a"/>
    <w:link w:val="Char3"/>
    <w:uiPriority w:val="99"/>
    <w:unhideWhenUsed/>
    <w:rsid w:val="00762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3">
    <w:name w:val="تذييل الصفحة Char"/>
    <w:basedOn w:val="a0"/>
    <w:link w:val="a9"/>
    <w:uiPriority w:val="99"/>
    <w:locked/>
    <w:rsid w:val="00762BB4"/>
    <w:rPr>
      <w:rFonts w:cs="Times New Roman"/>
    </w:rPr>
  </w:style>
  <w:style w:type="paragraph" w:styleId="aa">
    <w:name w:val="No Spacing"/>
    <w:link w:val="Char4"/>
    <w:uiPriority w:val="1"/>
    <w:qFormat/>
    <w:rsid w:val="00762BB4"/>
    <w:rPr>
      <w:rFonts w:cs="Arial"/>
      <w:sz w:val="22"/>
      <w:szCs w:val="22"/>
      <w:lang w:val="fr-FR" w:eastAsia="en-US"/>
    </w:rPr>
  </w:style>
  <w:style w:type="character" w:customStyle="1" w:styleId="Char4">
    <w:name w:val="بلا تباعد Char"/>
    <w:basedOn w:val="a0"/>
    <w:link w:val="aa"/>
    <w:uiPriority w:val="1"/>
    <w:locked/>
    <w:rsid w:val="00762BB4"/>
    <w:rPr>
      <w:rFonts w:eastAsia="Times New Roman" w:cs="Times New Roman"/>
      <w:sz w:val="22"/>
      <w:szCs w:val="22"/>
      <w:lang w:val="fr-FR" w:eastAsia="en-US" w:bidi="ar-SA"/>
    </w:rPr>
  </w:style>
  <w:style w:type="paragraph" w:styleId="ab">
    <w:name w:val="footnote text"/>
    <w:basedOn w:val="a"/>
    <w:link w:val="Char5"/>
    <w:uiPriority w:val="99"/>
    <w:rsid w:val="00937CCA"/>
    <w:pPr>
      <w:spacing w:after="0" w:line="240" w:lineRule="auto"/>
      <w:jc w:val="right"/>
    </w:pPr>
    <w:rPr>
      <w:b/>
      <w:sz w:val="28"/>
      <w:szCs w:val="20"/>
    </w:rPr>
  </w:style>
  <w:style w:type="character" w:customStyle="1" w:styleId="Char5">
    <w:name w:val="نص حاشية سفلية Char"/>
    <w:basedOn w:val="a0"/>
    <w:link w:val="ab"/>
    <w:uiPriority w:val="99"/>
    <w:rsid w:val="00937CCA"/>
    <w:rPr>
      <w:rFonts w:cs="Arial"/>
      <w:b/>
      <w:sz w:val="28"/>
      <w:lang w:val="fr-FR" w:eastAsia="en-US"/>
    </w:rPr>
  </w:style>
  <w:style w:type="character" w:styleId="ac">
    <w:name w:val="footnote reference"/>
    <w:basedOn w:val="a0"/>
    <w:uiPriority w:val="99"/>
    <w:rsid w:val="00B359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D96"/>
    <w:pPr>
      <w:spacing w:after="160" w:line="259" w:lineRule="auto"/>
    </w:pPr>
    <w:rPr>
      <w:rFonts w:cs="Arial"/>
      <w:sz w:val="22"/>
      <w:szCs w:val="22"/>
      <w:lang w:val="fr-FR"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762BB4"/>
    <w:pPr>
      <w:keepNext/>
      <w:keepLines/>
      <w:spacing w:before="200" w:after="0" w:line="276" w:lineRule="auto"/>
      <w:outlineLvl w:val="2"/>
    </w:pPr>
    <w:rPr>
      <w:rFonts w:ascii="Calibri Light" w:hAnsi="Calibri Light" w:cs="Times New Roman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locked/>
    <w:rsid w:val="00762BB4"/>
    <w:rPr>
      <w:rFonts w:ascii="Calibri Light" w:hAnsi="Calibri Light" w:cs="Times New Roman"/>
      <w:b/>
      <w:bCs/>
      <w:color w:val="5B9BD5"/>
    </w:rPr>
  </w:style>
  <w:style w:type="paragraph" w:styleId="a3">
    <w:name w:val="List Paragraph"/>
    <w:basedOn w:val="a"/>
    <w:uiPriority w:val="34"/>
    <w:qFormat/>
    <w:rsid w:val="00E9494B"/>
    <w:pPr>
      <w:ind w:left="720"/>
      <w:contextualSpacing/>
    </w:pPr>
  </w:style>
  <w:style w:type="paragraph" w:styleId="a4">
    <w:name w:val="Title"/>
    <w:basedOn w:val="a"/>
    <w:next w:val="a"/>
    <w:link w:val="Char"/>
    <w:uiPriority w:val="10"/>
    <w:qFormat/>
    <w:rsid w:val="00762BB4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locked/>
    <w:rsid w:val="00762BB4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a5">
    <w:name w:val="endnote text"/>
    <w:basedOn w:val="a"/>
    <w:link w:val="Char0"/>
    <w:uiPriority w:val="99"/>
    <w:semiHidden/>
    <w:unhideWhenUsed/>
    <w:rsid w:val="00762BB4"/>
    <w:pPr>
      <w:spacing w:after="0" w:line="240" w:lineRule="auto"/>
    </w:pPr>
    <w:rPr>
      <w:sz w:val="20"/>
      <w:szCs w:val="20"/>
    </w:rPr>
  </w:style>
  <w:style w:type="character" w:customStyle="1" w:styleId="Char0">
    <w:name w:val="نص تعليق ختامي Char"/>
    <w:basedOn w:val="a0"/>
    <w:link w:val="a5"/>
    <w:uiPriority w:val="99"/>
    <w:semiHidden/>
    <w:locked/>
    <w:rsid w:val="00762BB4"/>
    <w:rPr>
      <w:rFonts w:cs="Times New Roman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762BB4"/>
    <w:rPr>
      <w:rFonts w:cs="Times New Roman"/>
      <w:vertAlign w:val="superscript"/>
    </w:rPr>
  </w:style>
  <w:style w:type="paragraph" w:styleId="a7">
    <w:name w:val="Balloon Text"/>
    <w:basedOn w:val="a"/>
    <w:link w:val="Char1"/>
    <w:uiPriority w:val="99"/>
    <w:semiHidden/>
    <w:unhideWhenUsed/>
    <w:rsid w:val="0076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locked/>
    <w:rsid w:val="00762BB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2"/>
    <w:uiPriority w:val="99"/>
    <w:unhideWhenUsed/>
    <w:rsid w:val="00762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2">
    <w:name w:val="رأس الصفحة Char"/>
    <w:basedOn w:val="a0"/>
    <w:link w:val="a8"/>
    <w:uiPriority w:val="99"/>
    <w:locked/>
    <w:rsid w:val="00762BB4"/>
    <w:rPr>
      <w:rFonts w:cs="Times New Roman"/>
    </w:rPr>
  </w:style>
  <w:style w:type="paragraph" w:styleId="a9">
    <w:name w:val="footer"/>
    <w:basedOn w:val="a"/>
    <w:link w:val="Char3"/>
    <w:uiPriority w:val="99"/>
    <w:unhideWhenUsed/>
    <w:rsid w:val="00762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3">
    <w:name w:val="تذييل الصفحة Char"/>
    <w:basedOn w:val="a0"/>
    <w:link w:val="a9"/>
    <w:uiPriority w:val="99"/>
    <w:locked/>
    <w:rsid w:val="00762BB4"/>
    <w:rPr>
      <w:rFonts w:cs="Times New Roman"/>
    </w:rPr>
  </w:style>
  <w:style w:type="paragraph" w:styleId="aa">
    <w:name w:val="No Spacing"/>
    <w:link w:val="Char4"/>
    <w:uiPriority w:val="1"/>
    <w:qFormat/>
    <w:rsid w:val="00762BB4"/>
    <w:rPr>
      <w:rFonts w:cs="Arial"/>
      <w:sz w:val="22"/>
      <w:szCs w:val="22"/>
      <w:lang w:val="fr-FR" w:eastAsia="en-US"/>
    </w:rPr>
  </w:style>
  <w:style w:type="character" w:customStyle="1" w:styleId="Char4">
    <w:name w:val="بلا تباعد Char"/>
    <w:basedOn w:val="a0"/>
    <w:link w:val="aa"/>
    <w:uiPriority w:val="1"/>
    <w:locked/>
    <w:rsid w:val="00762BB4"/>
    <w:rPr>
      <w:rFonts w:eastAsia="Times New Roman" w:cs="Times New Roman"/>
      <w:sz w:val="22"/>
      <w:szCs w:val="22"/>
      <w:lang w:val="fr-FR" w:eastAsia="en-US" w:bidi="ar-SA"/>
    </w:rPr>
  </w:style>
  <w:style w:type="paragraph" w:styleId="ab">
    <w:name w:val="footnote text"/>
    <w:basedOn w:val="a"/>
    <w:link w:val="Char5"/>
    <w:uiPriority w:val="99"/>
    <w:rsid w:val="00937CCA"/>
    <w:pPr>
      <w:spacing w:after="0" w:line="240" w:lineRule="auto"/>
      <w:jc w:val="right"/>
    </w:pPr>
    <w:rPr>
      <w:b/>
      <w:sz w:val="28"/>
      <w:szCs w:val="20"/>
    </w:rPr>
  </w:style>
  <w:style w:type="character" w:customStyle="1" w:styleId="Char5">
    <w:name w:val="نص حاشية سفلية Char"/>
    <w:basedOn w:val="a0"/>
    <w:link w:val="ab"/>
    <w:uiPriority w:val="99"/>
    <w:rsid w:val="00937CCA"/>
    <w:rPr>
      <w:rFonts w:cs="Arial"/>
      <w:b/>
      <w:sz w:val="28"/>
      <w:lang w:val="fr-FR" w:eastAsia="en-US"/>
    </w:rPr>
  </w:style>
  <w:style w:type="character" w:styleId="ac">
    <w:name w:val="footnote reference"/>
    <w:basedOn w:val="a0"/>
    <w:uiPriority w:val="99"/>
    <w:rsid w:val="00B359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%3f%3f%3f%3f%3f%3f%3f%3f%3f%3f%3f111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528E0CC-E2CD-483C-8268-2D29E239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???????????1111</Template>
  <TotalTime>2</TotalTime>
  <Pages>5</Pages>
  <Words>560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2022-06-25T10:34:00Z</cp:lastPrinted>
  <dcterms:created xsi:type="dcterms:W3CDTF">2023-02-25T22:26:00Z</dcterms:created>
  <dcterms:modified xsi:type="dcterms:W3CDTF">2023-02-25T22:29:00Z</dcterms:modified>
</cp:coreProperties>
</file>